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80" w:after="480" w:line="288" w:lineRule="auto"/>
        <w:ind w:left="0"/>
        <w:jc w:val="center"/>
        <w:rPr>
          <w:sz w:val="24"/>
          <w:szCs w:val="24"/>
        </w:rPr>
      </w:pPr>
      <w:r>
        <w:rPr>
          <w:rFonts w:ascii="Arial" w:hAnsi="Arial" w:eastAsia="等线" w:cs="Arial"/>
          <w:b/>
          <w:sz w:val="24"/>
          <w:szCs w:val="24"/>
        </w:rPr>
        <w:t>广东豪美精密制造有限公司</w:t>
      </w:r>
      <w:r>
        <w:rPr>
          <w:rFonts w:hint="eastAsia" w:ascii="Arial" w:hAnsi="Arial" w:eastAsia="等线" w:cs="Arial"/>
          <w:b/>
          <w:sz w:val="24"/>
          <w:szCs w:val="24"/>
          <w:lang w:val="en-US" w:eastAsia="zh-CN"/>
        </w:rPr>
        <w:t>1号机工频炉</w:t>
      </w:r>
      <w:r>
        <w:rPr>
          <w:rFonts w:ascii="Arial" w:hAnsi="Arial" w:eastAsia="等线" w:cs="Arial"/>
          <w:b/>
          <w:sz w:val="24"/>
          <w:szCs w:val="24"/>
        </w:rPr>
        <w:t>变压器迁改工程施工内容及技术要求</w:t>
      </w:r>
    </w:p>
    <w:p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一、施工内容</w:t>
      </w:r>
      <w:bookmarkEnd w:id="0"/>
    </w:p>
    <w:p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（一）变压器迁移施工</w:t>
      </w:r>
      <w:bookmarkEnd w:id="1"/>
    </w:p>
    <w:p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明确迁移对象为原1号机工频炉变压器，该变压器型号为ZSC11，容量1350kV·A，电压10±2×2.5%kV，需将其从原安装位置迁移至2号机旁新场地，并完成变压器主体、外壳及防护铁件的整体迁移、安装固定工作。</w:t>
      </w:r>
    </w:p>
    <w:p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迁移前对原变压器进行全面检查，包括外观有无破损、部件是否齐全、电气性能是否正常等，做好检查记录；迁移过程中采取有效的防护措施，避免变压器受到碰撞、震动等损坏，确保迁移过程安全平稳。</w:t>
      </w:r>
    </w:p>
    <w:p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变压器迁移至新场地后，按照相关规范要求进行安装调试，包括</w:t>
      </w:r>
      <w:bookmarkStart w:id="11" w:name="_GoBack"/>
      <w:bookmarkEnd w:id="11"/>
      <w:r>
        <w:rPr>
          <w:rFonts w:ascii="Arial" w:hAnsi="Arial" w:eastAsia="等线" w:cs="Arial"/>
          <w:sz w:val="22"/>
        </w:rPr>
        <w:t>变压器的定位、固定、接线、接地等工作，确保变压器安装符合设计及规范标准，能够正常投入使用。</w:t>
      </w:r>
    </w:p>
    <w:p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（二）高压电缆调整与利用</w:t>
      </w:r>
      <w:bookmarkEnd w:id="2"/>
    </w:p>
    <w:p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保留原1号工频炉变压器高压电缆，将其重新规划连接至新增5500永磁炉，作为该永磁炉的供电电缆，确保电缆连接牢固、绝缘良好，满足永磁炉的用电需求。</w:t>
      </w:r>
      <w:bookmarkStart w:id="3" w:name="heading_3"/>
      <w:r>
        <w:rPr>
          <w:rFonts w:ascii="Arial" w:hAnsi="Arial" w:eastAsia="等线" w:cs="Arial"/>
          <w:b/>
          <w:sz w:val="30"/>
        </w:rPr>
        <w:t>（三）新高压电缆敷设施工</w:t>
      </w:r>
      <w:bookmarkEnd w:id="3"/>
    </w:p>
    <w:p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顶管施工：在1号机新场地，从挤压六电房出发，采用HDPE160/8型管材进行顶管施工，共设置两条顶管（一用一备）。其中两条顶管合计长度220米，单条160管长度90米，顶管施工过程中需完成钻导向孔（DN≤300mm）、扩孔（DN200mm以内）、回拖布管及泥浆运输（运距10km）等工序。</w:t>
      </w:r>
    </w:p>
    <w:p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电缆敷设：通过新建的顶管敷设一条规格为ZC-YJV22-8.7/15KV-3×70的高压电缆，电缆总长度330米，确保电缆敷设过程中无扭曲、损伤，电缆排列整齐，符合相关规范要求。</w:t>
      </w:r>
    </w:p>
    <w:p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电缆附件安装：安装2个户内3×70规格的高压电缆头，确保电缆头制作工艺规范，密封良好，绝缘性能达标；同时完成电缆的固定、防护及标识工作。</w:t>
      </w:r>
    </w:p>
    <w:p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（四）辅助设施施工</w:t>
      </w:r>
      <w:bookmarkEnd w:id="4"/>
    </w:p>
    <w:p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行车井砌筑：按照设计要求砌筑</w:t>
      </w:r>
      <w:r>
        <w:rPr>
          <w:rFonts w:hint="eastAsia" w:ascii="Arial" w:hAnsi="Arial" w:eastAsia="等线" w:cs="Arial"/>
          <w:sz w:val="22"/>
          <w:lang w:val="en-US" w:eastAsia="zh-CN"/>
        </w:rPr>
        <w:t>4</w:t>
      </w:r>
      <w:r>
        <w:rPr>
          <w:rFonts w:ascii="Arial" w:hAnsi="Arial" w:eastAsia="等线" w:cs="Arial"/>
          <w:sz w:val="22"/>
        </w:rPr>
        <w:t>座行车井，行车井采用砖砌矩形结构，内侧进行砖墙抹灰处理，配备矩形盖板（每块体积0.1m³以内），设置200PVC管集水口；施工过程中包含非定型井垫层混凝土（普通预拌混凝土C15）浇筑、人工挖土方（一、二类土，深度2m内）、挖掘机挖装沟槽及基坑土方（二类土）、回填砂、回填土夯实机夯实槽坑、自卸汽车运土方（运距10km）及预埋铁件安装等工序。</w:t>
      </w:r>
    </w:p>
    <w:p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标志标识安装：安装15个φ80mm的圆形不锈钢电缆标志牌，标志牌安装位置准确、牢固，标识清晰，注明电缆相关信息，便于后期维护管理。</w:t>
      </w:r>
    </w:p>
    <w:p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二、技术要求</w:t>
      </w:r>
      <w:bookmarkEnd w:id="5"/>
    </w:p>
    <w:p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（一）通用技术要求</w:t>
      </w:r>
      <w:bookmarkEnd w:id="6"/>
    </w:p>
    <w:p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施工前需对施工人员进行技术交底和安全培训，施工过程中严格遵守安全操作规程，落实绿色施工安全防护措施，确保施工安全；本工程整体施工及通电工作需在1月31日前全部完成，施工单位需合理规划施工进度，明确各工序时间节点，保障按期竣工。</w:t>
      </w:r>
    </w:p>
    <w:p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所有进场材料、设备必须具备合格证书、检验报告等质量证明文件，进场后需进行抽样复检，合格后方可投入使用；材料、设备的存放需符合相关要求，避免损坏或变质。</w:t>
      </w:r>
    </w:p>
    <w:p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施工过程中需做好施工记录，包括隐蔽工程验收记录、试验记录、工序交接记录等，确保工程资料完整、规范，便于后期追溯。</w:t>
      </w:r>
    </w:p>
    <w:p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（二）变压器迁移技术要求</w:t>
      </w:r>
      <w:bookmarkEnd w:id="7"/>
    </w:p>
    <w:p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变压器迁移过程中，吊装、运输设备的选型需符合变压器的重量及尺寸要求，确保吊装、运输平稳，避免变压器倾斜、碰撞。</w:t>
      </w:r>
    </w:p>
    <w:p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变压器安装定位偏差需符合规范要求，水平度、垂直度误差在允许范围内；变压器外壳接地可靠，接地电阻值符合设计要求。</w:t>
      </w:r>
    </w:p>
    <w:p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变压器调试过程中，需进行绝缘电阻测试、变比测试、直流电阻测试、耐压试验等各项试验，试验结果均需符合相关规范及设计要求，确保变压器运行安全可靠。</w:t>
      </w:r>
    </w:p>
    <w:p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（三）顶管施工技术要求</w:t>
      </w:r>
      <w:bookmarkEnd w:id="8"/>
    </w:p>
    <w:p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钻导向孔时，需控制钻孔的坡度、方位，确保导向孔偏差在允许范围内，为后续扩孔及回拖布管奠定基础。</w:t>
      </w:r>
    </w:p>
    <w:p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扩孔直径需符合设计要求，扩孔过程中需及时清理孔内泥土、杂物，避免孔壁坍塌；回拖布管时，需控制拖管速度，避免管材受损，确保管材连接牢固、密封良好。</w:t>
      </w:r>
    </w:p>
    <w:p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泥浆配制需符合施工要求，具有良好的润滑、携砂及固壁性能，泥浆运输需及时、有序，避免污染环境。</w:t>
      </w:r>
    </w:p>
    <w:p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（四）电缆敷设及附件安装技术要求</w:t>
      </w:r>
      <w:bookmarkEnd w:id="9"/>
    </w:p>
    <w:p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电缆敷设前需进行绝缘电阻测试，10kV电缆绝缘电阻值不得低于400MΩ；敷设过程中，电缆弯曲半径需符合规范要求，不得小于电缆直径的20倍。</w:t>
      </w:r>
    </w:p>
    <w:p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电缆头制作需在清洁、干燥的环境中进行，严格按照工艺标准施工，确保电缆头绝缘层无损伤、密封良好，耐压试验合格。</w:t>
      </w:r>
    </w:p>
    <w:p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电缆固定需牢固可靠，在电缆终端、中间接头及转弯处等关键位置需设置固定支架，固定间距符合规范要求；电缆敷设完成后，需再次进行绝缘电阻测试及耐压试验，确保电缆敷设质量。</w:t>
      </w:r>
    </w:p>
    <w:p>
      <w:pPr>
        <w:spacing w:before="300" w:after="120" w:line="288" w:lineRule="auto"/>
        <w:ind w:left="0"/>
        <w:jc w:val="left"/>
        <w:outlineLvl w:val="2"/>
      </w:pPr>
      <w:bookmarkStart w:id="10" w:name="heading_11"/>
      <w:r>
        <w:rPr>
          <w:rFonts w:ascii="Arial" w:hAnsi="Arial" w:eastAsia="等线" w:cs="Arial"/>
          <w:b/>
          <w:sz w:val="30"/>
        </w:rPr>
        <w:t>（</w:t>
      </w:r>
      <w:r>
        <w:rPr>
          <w:rFonts w:hint="eastAsia" w:ascii="Arial" w:hAnsi="Arial" w:eastAsia="等线" w:cs="Arial"/>
          <w:b/>
          <w:sz w:val="30"/>
          <w:lang w:val="en-US" w:eastAsia="zh-CN"/>
        </w:rPr>
        <w:t>五</w:t>
      </w:r>
      <w:r>
        <w:rPr>
          <w:rFonts w:ascii="Arial" w:hAnsi="Arial" w:eastAsia="等线" w:cs="Arial"/>
          <w:b/>
          <w:sz w:val="30"/>
        </w:rPr>
        <w:t>）标志标识安装技术要求</w:t>
      </w:r>
      <w:bookmarkEnd w:id="10"/>
    </w:p>
    <w:p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电缆标志牌安装位置需醒目，便于观察，一般设置在电缆终端、中间接头、转弯处及隧道、沟道入口等位置。</w:t>
      </w:r>
    </w:p>
    <w:p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标志牌标识内容需清晰、准确，包括电缆型号、规格、长度、用途、走向等信息；标志牌固定牢固，不易脱落、损坏，且具有一定的防腐、防潮性能。</w:t>
      </w:r>
    </w:p>
    <w:p>
      <w:pPr>
        <w:spacing w:before="120" w:after="120" w:line="288" w:lineRule="auto"/>
        <w:ind w:left="0"/>
        <w:jc w:val="left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">
    <w:nsid w:val="9C8AC8EF"/>
    <w:multiLevelType w:val="singleLevel"/>
    <w:tmpl w:val="9C8AC8E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">
    <w:nsid w:val="BE923771"/>
    <w:multiLevelType w:val="singleLevel"/>
    <w:tmpl w:val="BE923771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">
    <w:nsid w:val="C8879AEF"/>
    <w:multiLevelType w:val="singleLevel"/>
    <w:tmpl w:val="C8879AEF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">
    <w:nsid w:val="D7F9FE59"/>
    <w:multiLevelType w:val="singleLevel"/>
    <w:tmpl w:val="D7F9FE5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7">
    <w:nsid w:val="DCBA6B53"/>
    <w:multiLevelType w:val="singleLevel"/>
    <w:tmpl w:val="DCBA6B53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8">
    <w:nsid w:val="F4B5D9F5"/>
    <w:multiLevelType w:val="singleLevel"/>
    <w:tmpl w:val="F4B5D9F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9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0">
    <w:nsid w:val="0248C179"/>
    <w:multiLevelType w:val="singleLevel"/>
    <w:tmpl w:val="0248C17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1">
    <w:nsid w:val="03D62ECE"/>
    <w:multiLevelType w:val="singleLevel"/>
    <w:tmpl w:val="03D62EC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2">
    <w:nsid w:val="0E640482"/>
    <w:multiLevelType w:val="singleLevel"/>
    <w:tmpl w:val="0E640482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3">
    <w:nsid w:val="2470EC97"/>
    <w:multiLevelType w:val="singleLevel"/>
    <w:tmpl w:val="2470EC97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4">
    <w:nsid w:val="25B654F3"/>
    <w:multiLevelType w:val="singleLevel"/>
    <w:tmpl w:val="25B654F3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5">
    <w:nsid w:val="46A08BB8"/>
    <w:multiLevelType w:val="singleLevel"/>
    <w:tmpl w:val="46A08BB8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6">
    <w:nsid w:val="4C1BAE26"/>
    <w:multiLevelType w:val="singleLevel"/>
    <w:tmpl w:val="4C1BAE26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7">
    <w:nsid w:val="4D4DC07F"/>
    <w:multiLevelType w:val="singleLevel"/>
    <w:tmpl w:val="4D4DC07F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8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9">
    <w:nsid w:val="5A241D34"/>
    <w:multiLevelType w:val="singleLevel"/>
    <w:tmpl w:val="5A241D3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0">
    <w:nsid w:val="60382F6E"/>
    <w:multiLevelType w:val="singleLevel"/>
    <w:tmpl w:val="60382F6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1">
    <w:nsid w:val="629F7852"/>
    <w:multiLevelType w:val="singleLevel"/>
    <w:tmpl w:val="629F7852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2">
    <w:nsid w:val="72183CF9"/>
    <w:multiLevelType w:val="singleLevel"/>
    <w:tmpl w:val="72183CF9"/>
    <w:lvl w:ilvl="0" w:tentative="0">
      <w:start w:val="3"/>
      <w:numFmt w:val="decimal"/>
      <w:lvlText w:val="%1."/>
      <w:lvlJc w:val="left"/>
      <w:rPr>
        <w:color w:val="3370FF"/>
      </w:rPr>
    </w:lvl>
  </w:abstractNum>
  <w:num w:numId="1">
    <w:abstractNumId w:val="9"/>
  </w:num>
  <w:num w:numId="2">
    <w:abstractNumId w:val="5"/>
  </w:num>
  <w:num w:numId="3">
    <w:abstractNumId w:val="18"/>
  </w:num>
  <w:num w:numId="4">
    <w:abstractNumId w:val="3"/>
  </w:num>
  <w:num w:numId="5">
    <w:abstractNumId w:val="11"/>
  </w:num>
  <w:num w:numId="6">
    <w:abstractNumId w:val="14"/>
  </w:num>
  <w:num w:numId="7">
    <w:abstractNumId w:val="22"/>
  </w:num>
  <w:num w:numId="8">
    <w:abstractNumId w:val="10"/>
  </w:num>
  <w:num w:numId="9">
    <w:abstractNumId w:val="0"/>
  </w:num>
  <w:num w:numId="10">
    <w:abstractNumId w:val="19"/>
  </w:num>
  <w:num w:numId="11">
    <w:abstractNumId w:val="4"/>
  </w:num>
  <w:num w:numId="12">
    <w:abstractNumId w:val="17"/>
  </w:num>
  <w:num w:numId="13">
    <w:abstractNumId w:val="8"/>
  </w:num>
  <w:num w:numId="14">
    <w:abstractNumId w:val="13"/>
  </w:num>
  <w:num w:numId="15">
    <w:abstractNumId w:val="7"/>
  </w:num>
  <w:num w:numId="16">
    <w:abstractNumId w:val="6"/>
  </w:num>
  <w:num w:numId="17">
    <w:abstractNumId w:val="1"/>
  </w:num>
  <w:num w:numId="18">
    <w:abstractNumId w:val="16"/>
  </w:num>
  <w:num w:numId="19">
    <w:abstractNumId w:val="20"/>
  </w:num>
  <w:num w:numId="20">
    <w:abstractNumId w:val="12"/>
  </w:num>
  <w:num w:numId="21">
    <w:abstractNumId w:val="15"/>
  </w:num>
  <w:num w:numId="22">
    <w:abstractNumId w:val="2"/>
  </w:num>
  <w:num w:numId="23">
    <w:abstractNumId w:val="2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